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624CDA7"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r w:rsidR="000F6082" w:rsidRPr="00604692">
        <w:rPr>
          <w:rFonts w:ascii="Arial" w:hAnsi="Arial" w:cs="Arial"/>
          <w:b/>
          <w:bCs/>
          <w:caps/>
          <w:color w:val="214F87"/>
          <w:sz w:val="44"/>
          <w:szCs w:val="44"/>
        </w:rPr>
        <w:t>3</w:t>
      </w:r>
      <w:r w:rsidR="00B75206">
        <w:rPr>
          <w:rFonts w:ascii="Arial" w:hAnsi="Arial" w:cs="Arial"/>
          <w:b/>
          <w:bCs/>
          <w:caps/>
          <w:color w:val="214F87"/>
          <w:sz w:val="44"/>
          <w:szCs w:val="44"/>
        </w:rPr>
        <w:t>F</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34FB0319" w:rsidR="00604692" w:rsidRPr="00FF1AAF" w:rsidRDefault="00604692" w:rsidP="00604692">
      <w:pPr>
        <w:pStyle w:val="Zkladnodstavec"/>
        <w:jc w:val="center"/>
        <w:rPr>
          <w:rFonts w:ascii="Arial" w:hAnsi="Arial" w:cs="Arial"/>
          <w:caps/>
          <w:color w:val="auto"/>
          <w:sz w:val="36"/>
          <w:szCs w:val="36"/>
        </w:rPr>
      </w:pPr>
      <w:r>
        <w:rPr>
          <w:rFonts w:ascii="Arial" w:hAnsi="Arial" w:cs="Arial"/>
          <w:caps/>
          <w:color w:val="auto"/>
          <w:sz w:val="36"/>
          <w:szCs w:val="36"/>
        </w:rPr>
        <w:t>4</w:t>
      </w:r>
      <w:r w:rsidR="00497983">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w:t>
      </w:r>
      <w:r w:rsidR="0083602B">
        <w:rPr>
          <w:rFonts w:ascii="Arial" w:hAnsi="Arial" w:cs="Arial"/>
          <w:caps/>
          <w:color w:val="auto"/>
          <w:sz w:val="36"/>
          <w:szCs w:val="36"/>
        </w:rPr>
        <w:t xml:space="preserve"> </w:t>
      </w:r>
      <w:r>
        <w:rPr>
          <w:rFonts w:ascii="Arial" w:hAnsi="Arial" w:cs="Arial"/>
          <w:color w:val="auto"/>
          <w:sz w:val="36"/>
          <w:szCs w:val="36"/>
        </w:rPr>
        <w:t>–</w:t>
      </w:r>
      <w:r>
        <w:rPr>
          <w:rFonts w:ascii="Arial" w:hAnsi="Arial" w:cs="Arial"/>
          <w:caps/>
          <w:color w:val="auto"/>
          <w:sz w:val="36"/>
          <w:szCs w:val="36"/>
        </w:rPr>
        <w:t xml:space="preserve"> SC </w:t>
      </w:r>
      <w:r w:rsidR="00824569">
        <w:rPr>
          <w:rFonts w:ascii="Arial" w:hAnsi="Arial" w:cs="Arial"/>
          <w:caps/>
          <w:color w:val="auto"/>
          <w:sz w:val="36"/>
          <w:szCs w:val="36"/>
        </w:rPr>
        <w:t>5</w:t>
      </w:r>
      <w:r>
        <w:rPr>
          <w:rFonts w:ascii="Arial" w:hAnsi="Arial" w:cs="Arial"/>
          <w:caps/>
          <w:color w:val="auto"/>
          <w:sz w:val="36"/>
          <w:szCs w:val="36"/>
        </w:rPr>
        <w:t>.</w:t>
      </w:r>
      <w:r w:rsidR="00824569">
        <w:rPr>
          <w:rFonts w:ascii="Arial" w:hAnsi="Arial" w:cs="Arial"/>
          <w:caps/>
          <w:color w:val="auto"/>
          <w:sz w:val="36"/>
          <w:szCs w:val="36"/>
        </w:rPr>
        <w:t>1</w:t>
      </w:r>
      <w:r>
        <w:rPr>
          <w:rFonts w:ascii="Arial" w:hAnsi="Arial" w:cs="Arial"/>
          <w:caps/>
          <w:color w:val="auto"/>
          <w:sz w:val="36"/>
          <w:szCs w:val="36"/>
        </w:rPr>
        <w:t xml:space="preserve"> (</w:t>
      </w:r>
      <w:r w:rsidR="007D5C7D" w:rsidRPr="00FF1AAF">
        <w:rPr>
          <w:rFonts w:ascii="Arial" w:hAnsi="Arial" w:cs="Arial"/>
          <w:caps/>
          <w:color w:val="auto"/>
          <w:sz w:val="36"/>
          <w:szCs w:val="36"/>
        </w:rPr>
        <w:t>CLLD</w:t>
      </w:r>
      <w:r w:rsidRPr="00FF1AAF">
        <w:rPr>
          <w:rFonts w:ascii="Arial" w:hAnsi="Arial" w:cs="Arial"/>
          <w:caps/>
          <w:color w:val="auto"/>
          <w:sz w:val="36"/>
          <w:szCs w:val="36"/>
        </w:rPr>
        <w:t>)</w:t>
      </w:r>
    </w:p>
    <w:p w14:paraId="05A1B5A0" w14:textId="77777777" w:rsidR="000F6082" w:rsidRPr="00FF1AAF" w:rsidRDefault="000F6082" w:rsidP="001643B0">
      <w:pPr>
        <w:spacing w:after="200"/>
        <w:jc w:val="center"/>
        <w:rPr>
          <w:rFonts w:ascii="Arial" w:hAnsi="Arial" w:cs="Arial"/>
          <w:caps/>
          <w:color w:val="7F7F7F" w:themeColor="text1" w:themeTint="80"/>
        </w:rPr>
      </w:pPr>
    </w:p>
    <w:p w14:paraId="27C16E27" w14:textId="267D4AC4" w:rsidR="000F6082" w:rsidRPr="00450137" w:rsidRDefault="000F6082" w:rsidP="000F6082">
      <w:pPr>
        <w:spacing w:after="200"/>
        <w:jc w:val="center"/>
        <w:rPr>
          <w:rFonts w:ascii="Arial" w:hAnsi="Arial" w:cs="Arial"/>
          <w:caps/>
          <w:color w:val="7F7F7F" w:themeColor="text1" w:themeTint="80"/>
          <w:sz w:val="32"/>
          <w:szCs w:val="32"/>
        </w:rPr>
        <w:sectPr w:rsidR="000F6082" w:rsidRPr="00450137"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FF1AAF">
        <w:rPr>
          <w:rFonts w:ascii="Arial" w:hAnsi="Arial" w:cs="Arial"/>
          <w:caps/>
          <w:color w:val="7F7F7F" w:themeColor="text1" w:themeTint="80"/>
        </w:rPr>
        <w:t xml:space="preserve">VERZE </w:t>
      </w:r>
      <w:r w:rsidR="004071A7" w:rsidRPr="00FF1AAF">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FAA101B" w:rsidR="0068431B" w:rsidRPr="0068431B" w:rsidRDefault="004071A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ACC2B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1550A0">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001550A0">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25AE397E"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w:t>
            </w:r>
            <w:r w:rsidR="00497983">
              <w:rPr>
                <w:rFonts w:ascii="Arial" w:hAnsi="Arial" w:cs="Arial"/>
                <w:i/>
                <w:iCs/>
                <w:snapToGrid w:val="0"/>
                <w:sz w:val="22"/>
                <w:szCs w:val="22"/>
              </w:rPr>
              <w:t>0</w:t>
            </w:r>
            <w:r w:rsidRPr="001550A0">
              <w:rPr>
                <w:rFonts w:ascii="Arial" w:hAnsi="Arial" w:cs="Arial"/>
                <w:i/>
                <w:iCs/>
                <w:snapToGrid w:val="0"/>
                <w:sz w:val="22"/>
                <w:szCs w:val="22"/>
              </w:rPr>
              <w:t>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27E05F15"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w:t>
            </w:r>
            <w:r w:rsidR="00497983">
              <w:rPr>
                <w:rFonts w:ascii="Arial" w:hAnsi="Arial" w:cs="Arial"/>
                <w:i/>
                <w:iCs/>
                <w:snapToGrid w:val="0"/>
                <w:sz w:val="22"/>
                <w:szCs w:val="22"/>
              </w:rPr>
              <w:t>0</w:t>
            </w:r>
            <w:r w:rsidRPr="001550A0">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02AF44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071A7">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5AC66F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D47B3"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00BA0CC8">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0059122B">
        <w:trPr>
          <w:trHeight w:val="410"/>
        </w:trPr>
        <w:tc>
          <w:tcPr>
            <w:tcW w:w="4533" w:type="dxa"/>
          </w:tcPr>
          <w:p w14:paraId="36AF4E13" w14:textId="08E7B0D2"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Poskytovatel služby musí být pověřen k výkonu služby obecného hospodářského zájmu v souladu s </w:t>
            </w:r>
            <w:r w:rsidR="004A7EDD">
              <w:rPr>
                <w:rFonts w:ascii="Arial" w:hAnsi="Arial" w:cs="Arial"/>
                <w:snapToGrid w:val="0"/>
                <w:sz w:val="22"/>
                <w:szCs w:val="22"/>
              </w:rPr>
              <w:t>r</w:t>
            </w:r>
            <w:r w:rsidRPr="00BA0CC8">
              <w:rPr>
                <w:rFonts w:ascii="Arial" w:hAnsi="Arial" w:cs="Arial"/>
                <w:snapToGrid w:val="0"/>
                <w:sz w:val="22"/>
                <w:szCs w:val="22"/>
              </w:rPr>
              <w:t xml:space="preserve">ozhodnutím </w:t>
            </w:r>
            <w:r w:rsidR="004A7EDD">
              <w:rPr>
                <w:rFonts w:ascii="Arial" w:hAnsi="Arial" w:cs="Arial"/>
                <w:snapToGrid w:val="0"/>
                <w:sz w:val="22"/>
                <w:szCs w:val="22"/>
              </w:rPr>
              <w:t xml:space="preserve">Komise </w:t>
            </w:r>
            <w:r w:rsidRPr="00BA0CC8">
              <w:rPr>
                <w:rFonts w:ascii="Arial" w:hAnsi="Arial" w:cs="Arial"/>
                <w:snapToGrid w:val="0"/>
                <w:sz w:val="22"/>
                <w:szCs w:val="22"/>
              </w:rPr>
              <w:t xml:space="preserve">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33AB8CBC" w:rsidR="00BA0CC8" w:rsidRPr="00BA0CC8" w:rsidRDefault="00BA0CC8" w:rsidP="003E04CD">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Dotace je udělena v souladu s </w:t>
      </w:r>
      <w:r w:rsidR="004A7EDD">
        <w:rPr>
          <w:rFonts w:ascii="Arial" w:hAnsi="Arial" w:cs="Arial"/>
          <w:snapToGrid w:val="0"/>
          <w:sz w:val="22"/>
          <w:szCs w:val="22"/>
        </w:rPr>
        <w:t>r</w:t>
      </w:r>
      <w:r w:rsidRPr="00BA0CC8">
        <w:rPr>
          <w:rFonts w:ascii="Arial" w:hAnsi="Arial" w:cs="Arial"/>
          <w:snapToGrid w:val="0"/>
          <w:sz w:val="22"/>
          <w:szCs w:val="22"/>
        </w:rPr>
        <w:t>ozhodnutím Komise 2012/21/EU</w:t>
      </w:r>
      <w:r w:rsidRPr="00BA0CC8">
        <w:rPr>
          <w:rFonts w:ascii="Arial" w:hAnsi="Arial" w:cs="Arial"/>
          <w:snapToGrid w:val="0"/>
          <w:sz w:val="22"/>
          <w:szCs w:val="22"/>
        </w:rPr>
        <w:footnoteReference w:id="20"/>
      </w:r>
      <w:r w:rsidR="00936668">
        <w:rPr>
          <w:rFonts w:ascii="Arial" w:hAnsi="Arial" w:cs="Arial"/>
          <w:snapToGrid w:val="0"/>
          <w:sz w:val="22"/>
          <w:szCs w:val="22"/>
          <w:vertAlign w:val="superscript"/>
        </w:rPr>
        <w:t>19</w:t>
      </w:r>
      <w:r w:rsidRPr="00BA0CC8">
        <w:rPr>
          <w:rFonts w:ascii="Arial" w:hAnsi="Arial" w:cs="Arial"/>
          <w:snapToGrid w:val="0"/>
          <w:sz w:val="22"/>
          <w:szCs w:val="22"/>
        </w:rPr>
        <w:t xml:space="preserve"> ze dne 20. prosince 2011 o použití čl. 106 odst. 2 SFEU na státní podporu ve formě vyrovnávací platby za</w:t>
      </w:r>
      <w:r w:rsidR="004A7EDD">
        <w:rPr>
          <w:rFonts w:ascii="Arial" w:hAnsi="Arial" w:cs="Arial"/>
          <w:snapToGrid w:val="0"/>
          <w:sz w:val="22"/>
          <w:szCs w:val="22"/>
        </w:rPr>
        <w:t> </w:t>
      </w:r>
      <w:r w:rsidRPr="00BA0CC8">
        <w:rPr>
          <w:rFonts w:ascii="Arial" w:hAnsi="Arial" w:cs="Arial"/>
          <w:snapToGrid w:val="0"/>
          <w:sz w:val="22"/>
          <w:szCs w:val="22"/>
        </w:rPr>
        <w:t>závazek veřejné služby udělené určitým podnikům pověřeným poskytováním služeb obecného hospodářského zájmu („</w:t>
      </w:r>
      <w:r w:rsidR="004A7EDD">
        <w:rPr>
          <w:rFonts w:ascii="Arial" w:hAnsi="Arial" w:cs="Arial"/>
          <w:snapToGrid w:val="0"/>
          <w:sz w:val="22"/>
          <w:szCs w:val="22"/>
        </w:rPr>
        <w:t>rozhodnutí Komise 2012/21/EU</w:t>
      </w:r>
      <w:r w:rsidRPr="00BA0CC8">
        <w:rPr>
          <w:rFonts w:ascii="Arial" w:hAnsi="Arial" w:cs="Arial"/>
          <w:snapToGrid w:val="0"/>
          <w:sz w:val="22"/>
          <w:szCs w:val="22"/>
        </w:rPr>
        <w:t>“).</w:t>
      </w:r>
    </w:p>
    <w:p w14:paraId="2BDEF88A" w14:textId="5742DBD7" w:rsidR="00BA0CC8" w:rsidRDefault="00BA0CC8" w:rsidP="003E04CD">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w:t>
      </w:r>
      <w:r w:rsidR="004A7EDD">
        <w:rPr>
          <w:rFonts w:ascii="Arial" w:hAnsi="Arial" w:cs="Arial"/>
          <w:snapToGrid w:val="0"/>
          <w:sz w:val="22"/>
          <w:szCs w:val="22"/>
        </w:rPr>
        <w:t>služby obecného hospodářského zájmu („</w:t>
      </w:r>
      <w:r w:rsidRPr="00BA0CC8">
        <w:rPr>
          <w:rFonts w:ascii="Arial" w:hAnsi="Arial" w:cs="Arial"/>
          <w:snapToGrid w:val="0"/>
          <w:sz w:val="22"/>
          <w:szCs w:val="22"/>
        </w:rPr>
        <w:t>SOHZ</w:t>
      </w:r>
      <w:r w:rsidR="004A7EDD">
        <w:rPr>
          <w:rFonts w:ascii="Arial" w:hAnsi="Arial" w:cs="Arial"/>
          <w:snapToGrid w:val="0"/>
          <w:sz w:val="22"/>
          <w:szCs w:val="22"/>
        </w:rPr>
        <w:t>“)</w:t>
      </w:r>
      <w:r w:rsidRPr="00BA0CC8">
        <w:rPr>
          <w:rFonts w:ascii="Arial" w:hAnsi="Arial" w:cs="Arial"/>
          <w:snapToGrid w:val="0"/>
          <w:sz w:val="22"/>
          <w:szCs w:val="22"/>
        </w:rPr>
        <w:t>. Příjemce dotace jako poskytovatel SOHZ musí být pověřen k výkonu SOHZ v souladu s </w:t>
      </w:r>
      <w:r w:rsidR="004A7EDD">
        <w:rPr>
          <w:rFonts w:ascii="Arial" w:hAnsi="Arial" w:cs="Arial"/>
          <w:snapToGrid w:val="0"/>
          <w:sz w:val="22"/>
          <w:szCs w:val="22"/>
        </w:rPr>
        <w:t>r</w:t>
      </w:r>
      <w:r w:rsidRPr="00BA0CC8">
        <w:rPr>
          <w:rFonts w:ascii="Arial" w:hAnsi="Arial" w:cs="Arial"/>
          <w:snapToGrid w:val="0"/>
          <w:sz w:val="22"/>
          <w:szCs w:val="22"/>
        </w:rPr>
        <w:t xml:space="preserve">ozhodnutím Komise 2012/21/EU po celou dobu životnosti investice. </w:t>
      </w:r>
    </w:p>
    <w:p w14:paraId="4817C88A" w14:textId="4AEBC1A9" w:rsidR="004A7EDD" w:rsidRPr="00FF1AAF" w:rsidRDefault="00F126C9" w:rsidP="003E04CD">
      <w:pPr>
        <w:pStyle w:val="Odstavecseseznamem"/>
        <w:numPr>
          <w:ilvl w:val="0"/>
          <w:numId w:val="35"/>
        </w:numPr>
        <w:spacing w:line="271" w:lineRule="auto"/>
        <w:jc w:val="both"/>
        <w:rPr>
          <w:rFonts w:ascii="Arial" w:hAnsi="Arial" w:cs="Arial"/>
          <w:snapToGrid w:val="0"/>
          <w:sz w:val="22"/>
          <w:szCs w:val="22"/>
        </w:rPr>
      </w:pPr>
      <w:r w:rsidRPr="00FF1AAF">
        <w:rPr>
          <w:rFonts w:ascii="Arial" w:hAnsi="Arial" w:cs="Arial"/>
          <w:snapToGrid w:val="0"/>
          <w:sz w:val="22"/>
          <w:szCs w:val="22"/>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r w:rsidR="004A7EDD" w:rsidRPr="00FF1AAF">
        <w:rPr>
          <w:rFonts w:ascii="Arial" w:hAnsi="Arial" w:cs="Arial"/>
          <w:snapToGrid w:val="0"/>
          <w:sz w:val="22"/>
          <w:szCs w:val="22"/>
        </w:rPr>
        <w:t xml:space="preserve"> </w:t>
      </w:r>
    </w:p>
    <w:p w14:paraId="23F17DF5" w14:textId="77777777" w:rsidR="00BA0CC8" w:rsidRPr="00BA0CC8" w:rsidRDefault="00BA0CC8" w:rsidP="003E04CD">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0184999F" w:rsidR="00BA0CC8" w:rsidRPr="00BA0CC8" w:rsidRDefault="00BA0CC8" w:rsidP="003E04CD">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FF1AAF">
        <w:rPr>
          <w:rFonts w:ascii="Arial" w:hAnsi="Arial" w:cs="Arial"/>
          <w:snapToGrid w:val="0"/>
          <w:sz w:val="22"/>
          <w:szCs w:val="22"/>
        </w:rPr>
        <w:t> </w:t>
      </w:r>
      <w:r w:rsidRPr="00BA0CC8">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BB2C" w14:textId="77777777" w:rsidR="00AD1E2E" w:rsidRDefault="00AD1E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8C5D" w14:textId="77777777" w:rsidR="00AD1E2E" w:rsidRDefault="00AD1E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542417F"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3602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3602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3B0E" w14:textId="020A202B" w:rsidR="00AD1E2E" w:rsidRDefault="00AD1E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5980D0B6"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F00E" w14:textId="314D6AE2" w:rsidR="00AD1E2E" w:rsidRDefault="00AD1E2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1309" w14:textId="7CBBF68E" w:rsidR="00AD1E2E" w:rsidRDefault="00AD1E2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D2C6" w14:textId="51EEA4D0" w:rsidR="00AD1E2E" w:rsidRDefault="00AD1E2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9700" w14:textId="3DD3ADB6" w:rsidR="00AD1E2E" w:rsidRDefault="00AD1E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36291424">
    <w:abstractNumId w:val="19"/>
  </w:num>
  <w:num w:numId="2" w16cid:durableId="67271348">
    <w:abstractNumId w:val="28"/>
  </w:num>
  <w:num w:numId="3" w16cid:durableId="175003463">
    <w:abstractNumId w:val="2"/>
  </w:num>
  <w:num w:numId="4" w16cid:durableId="1928070678">
    <w:abstractNumId w:val="7"/>
  </w:num>
  <w:num w:numId="5" w16cid:durableId="87310483">
    <w:abstractNumId w:val="12"/>
  </w:num>
  <w:num w:numId="6" w16cid:durableId="1271471059">
    <w:abstractNumId w:val="18"/>
  </w:num>
  <w:num w:numId="7" w16cid:durableId="1884906509">
    <w:abstractNumId w:val="6"/>
  </w:num>
  <w:num w:numId="8" w16cid:durableId="476186060">
    <w:abstractNumId w:val="24"/>
  </w:num>
  <w:num w:numId="9" w16cid:durableId="1636567261">
    <w:abstractNumId w:val="31"/>
  </w:num>
  <w:num w:numId="10" w16cid:durableId="1883327713">
    <w:abstractNumId w:val="27"/>
  </w:num>
  <w:num w:numId="11" w16cid:durableId="935527442">
    <w:abstractNumId w:val="8"/>
  </w:num>
  <w:num w:numId="12" w16cid:durableId="2091845475">
    <w:abstractNumId w:val="10"/>
  </w:num>
  <w:num w:numId="13" w16cid:durableId="1493184322">
    <w:abstractNumId w:val="34"/>
  </w:num>
  <w:num w:numId="14" w16cid:durableId="139737005">
    <w:abstractNumId w:val="29"/>
  </w:num>
  <w:num w:numId="15" w16cid:durableId="1536892930">
    <w:abstractNumId w:val="13"/>
  </w:num>
  <w:num w:numId="16" w16cid:durableId="1277641449">
    <w:abstractNumId w:val="20"/>
  </w:num>
  <w:num w:numId="17" w16cid:durableId="1916207578">
    <w:abstractNumId w:val="4"/>
  </w:num>
  <w:num w:numId="18" w16cid:durableId="450513113">
    <w:abstractNumId w:val="15"/>
  </w:num>
  <w:num w:numId="19" w16cid:durableId="208997656">
    <w:abstractNumId w:val="5"/>
  </w:num>
  <w:num w:numId="20" w16cid:durableId="1204833052">
    <w:abstractNumId w:val="16"/>
  </w:num>
  <w:num w:numId="21" w16cid:durableId="358700701">
    <w:abstractNumId w:val="17"/>
  </w:num>
  <w:num w:numId="22" w16cid:durableId="1446851498">
    <w:abstractNumId w:val="14"/>
  </w:num>
  <w:num w:numId="23" w16cid:durableId="1555579154">
    <w:abstractNumId w:val="23"/>
  </w:num>
  <w:num w:numId="24" w16cid:durableId="912785505">
    <w:abstractNumId w:val="3"/>
  </w:num>
  <w:num w:numId="25" w16cid:durableId="171189836">
    <w:abstractNumId w:val="1"/>
  </w:num>
  <w:num w:numId="26" w16cid:durableId="492767102">
    <w:abstractNumId w:val="26"/>
  </w:num>
  <w:num w:numId="27" w16cid:durableId="773937422">
    <w:abstractNumId w:val="21"/>
  </w:num>
  <w:num w:numId="28" w16cid:durableId="1198006185">
    <w:abstractNumId w:val="9"/>
  </w:num>
  <w:num w:numId="29" w16cid:durableId="98257205">
    <w:abstractNumId w:val="25"/>
  </w:num>
  <w:num w:numId="30" w16cid:durableId="1917321438">
    <w:abstractNumId w:val="32"/>
  </w:num>
  <w:num w:numId="31" w16cid:durableId="914319017">
    <w:abstractNumId w:val="22"/>
  </w:num>
  <w:num w:numId="32" w16cid:durableId="1821993410">
    <w:abstractNumId w:val="0"/>
  </w:num>
  <w:num w:numId="33" w16cid:durableId="1205869294">
    <w:abstractNumId w:val="11"/>
  </w:num>
  <w:num w:numId="34" w16cid:durableId="1720014264">
    <w:abstractNumId w:val="30"/>
  </w:num>
  <w:num w:numId="35" w16cid:durableId="1729500273">
    <w:abstractNumId w:val="33"/>
  </w:num>
  <w:num w:numId="36" w16cid:durableId="19732443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EED"/>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49"/>
    <w:rsid w:val="002A50D4"/>
    <w:rsid w:val="002A6D75"/>
    <w:rsid w:val="002A6EE3"/>
    <w:rsid w:val="002B02D4"/>
    <w:rsid w:val="002B0675"/>
    <w:rsid w:val="002B073A"/>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7B3"/>
    <w:rsid w:val="002D489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8B"/>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4CD"/>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1A7"/>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C93"/>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137"/>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983"/>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A7EDD"/>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3C0"/>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5C7D"/>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569"/>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02B"/>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543"/>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668"/>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1E2E"/>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D58"/>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206"/>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1B4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C9C"/>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6C9"/>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AAF"/>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13910858">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52518A2A-F63B-440B-B262-5BBE4FB59979}">
  <ds:schemaRefs>
    <ds:schemaRef ds:uri="http://schemas.openxmlformats.org/officeDocument/2006/bibliography"/>
  </ds:schemaRefs>
</ds:datastoreItem>
</file>

<file path=customXml/itemProps1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5EE35A81-F51F-479A-8569-7C0E593930A8}">
  <ds:schemaRefs>
    <ds:schemaRef ds:uri="http://schemas.openxmlformats.org/officeDocument/2006/bibliography"/>
  </ds:schemaRefs>
</ds:datastoreItem>
</file>

<file path=customXml/itemProps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1.xml><?xml version="1.0" encoding="utf-8"?>
<ds:datastoreItem xmlns:ds="http://schemas.openxmlformats.org/officeDocument/2006/customXml" ds:itemID="{04011A45-9932-462F-B1A7-8E4BDC8E9370}">
  <ds:schemaRefs>
    <ds:schemaRef ds:uri="http://schemas.openxmlformats.org/officeDocument/2006/bibliography"/>
  </ds:schemaRefs>
</ds:datastoreItem>
</file>

<file path=customXml/itemProps2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3.xml><?xml version="1.0" encoding="utf-8"?>
<ds:datastoreItem xmlns:ds="http://schemas.openxmlformats.org/officeDocument/2006/customXml" ds:itemID="{F95F5316-790B-49C6-983B-FEE1A1C6A73F}">
  <ds:schemaRefs>
    <ds:schemaRef ds:uri="http://schemas.openxmlformats.org/officeDocument/2006/bibliography"/>
  </ds:schemaRefs>
</ds:datastoreItem>
</file>

<file path=customXml/itemProps2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4024</Words>
  <Characters>23187</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8</cp:revision>
  <cp:lastPrinted>2022-07-27T10:25:00Z</cp:lastPrinted>
  <dcterms:created xsi:type="dcterms:W3CDTF">2025-01-14T09:14:00Z</dcterms:created>
  <dcterms:modified xsi:type="dcterms:W3CDTF">2025-02-19T07:56:00Z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